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1"/>
      </w:tblGrid>
      <w:tr w:rsidR="002607A8" w:rsidRPr="002607A8" w:rsidTr="002607A8">
        <w:trPr>
          <w:tblCellSpacing w:w="15" w:type="dxa"/>
        </w:trPr>
        <w:tc>
          <w:tcPr>
            <w:tcW w:w="4816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607A8" w:rsidRPr="002607A8" w:rsidRDefault="002607A8" w:rsidP="002607A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07A8" w:rsidRPr="002607A8" w:rsidRDefault="000C5E38" w:rsidP="002607A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607A8" w:rsidRPr="002607A8">
          <w:rPr>
            <w:rFonts w:ascii="Times New Roman" w:hAnsi="Times New Roman" w:cs="Times New Roman"/>
            <w:b/>
            <w:sz w:val="28"/>
            <w:szCs w:val="28"/>
          </w:rPr>
          <w:t>Загальні вимоги до форми заповіту</w:t>
        </w:r>
      </w:hyperlink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9"/>
      </w:tblGrid>
      <w:tr w:rsidR="002607A8" w:rsidRPr="002607A8" w:rsidTr="002607A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Заповіт складається у письмовій формі, із зазначенням місця та часу його складення.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Заповіт має бути особисто підписаний заповідачем.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Якщо особа не може особисто підписати заповіт, він підписується відповідно до частини четвертої статті 207 цього Кодексу.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Заповіт має бути посвідчений нотаріусом або іншими посадовими, службовими особами, визначеними у статтях 1251 - 1252 цього Кодексу.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Заповіти, посвідчені особами, зазначеними у частині третій цієї статті, підлягають державній реєстрації у Спадковому реєстрі в порядку, затвердженому Кабінетом Міністрів України.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13FFC">
              <w:rPr>
                <w:rFonts w:ascii="Times New Roman" w:hAnsi="Times New Roman" w:cs="Times New Roman"/>
                <w:sz w:val="28"/>
                <w:szCs w:val="28"/>
              </w:rPr>
              <w:t>ивільний кодекс України</w:t>
            </w: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FFC">
              <w:rPr>
                <w:rFonts w:ascii="Times New Roman" w:hAnsi="Times New Roman" w:cs="Times New Roman"/>
                <w:sz w:val="28"/>
                <w:szCs w:val="28"/>
              </w:rPr>
              <w:t xml:space="preserve">(далі ЦК) </w:t>
            </w: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містить низку норм, присвячених порядку складання і посвідчення заповіту. Умовно їх можна розмежувати на дві групи: а) ті, які встановлюють загальні вимоги до форми заповітів та загальні засади посвідчення заповітів нотаріусом (ст. ст. 1247, 1248 ЦК); б) ті, які визначають особливості нотаріального посвідчення секретних заповітів (ст. 1249 ЦК), посвідчення заповітів при свідках (ст. 1253 ЦК), а також компетенцію щодо посвідчення заповітів іншими посадовими, службовими особами, які виконують функцію нотаріусів (ст. ст. 1251, 1252 ЦК).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Ст. 1247 ЦК пред'являє наступні вимоги до форми та змісту заповіту: 1) письмова форма; 2) нотаріальне посвідчення або посвідчення особами, уповноваженими на це законом (ст. ст. 1251, 1252 ЦК); 3) зазначення у заповіті місця та часу його складення; 4) підписання заповіту заповідачем.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Аналіз змісту Інструкції про порядок вчинення нотаріальних дій нотаріусами України дозволяє стверджувати, що законодавство приєднує до даних вимог також вказівку у тексті заповіту про дату та місце народження заповідача (абзац перший пункту 157 Інструкції).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В деяких випадках на практиці для надання додаткової легітимності заповіту у випадку його підписання іншою особою замість заповідача нотаріус також запрошує не менш ніж двох свідків, які беруть участь у посвідченні.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Слід мати на увазі, що за спадковим законодавством присутність не менш як двох свідків при посвідченні заповіту є обов'язковою у таких випадках: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1) при посвідченні заповіту іншою посадовою, службовою особою, перелік яких наведений у ст. 1252 ЦК;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2) якщо заповідач не може через фізичні вади сам прочитати заповіт (абзац третій ч. 2 ст. 1248 ЦК).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Крім того, будь-який заповіт може бути посвідчений при свідках за бажанням заповідача (ч. 1 ст. 1253 ЦК).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 xml:space="preserve">Якщо заповідач не може підписати складений ним заповіт, його текст підписує інша особа за його дорученням, в його присутності за правилами ч. 4 ст. 207 ЦК. У випадках підписання заповіту </w:t>
            </w:r>
            <w:proofErr w:type="spellStart"/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рукоприкладачем</w:t>
            </w:r>
            <w:proofErr w:type="spellEnd"/>
            <w:r w:rsidRPr="002607A8">
              <w:rPr>
                <w:rFonts w:ascii="Times New Roman" w:hAnsi="Times New Roman" w:cs="Times New Roman"/>
                <w:sz w:val="28"/>
                <w:szCs w:val="28"/>
              </w:rPr>
              <w:t xml:space="preserve"> присутність свідків закон не вимагає, тому відсутність свідків при посвідченні таких заповітів порушенням законодавства не вважається. Разом з тим не можна не відзначити, що практика посвідчення таких заповітів в присутності свідків існує, і це не можна розглядати жодним іншим чином, крім як намагання нотаріуса додатково юридично захистити цей заповіт. Дійсно, свідки можуть </w:t>
            </w:r>
            <w:r w:rsidRPr="00260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 в майбутньому у пригоді, адже нерідко зустрічаються випадки оспорювання таких заповітів.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щоб залучення свідків при посвідченні заповіту, який підписує </w:t>
            </w:r>
            <w:proofErr w:type="spellStart"/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рукоприкладач</w:t>
            </w:r>
            <w:proofErr w:type="spellEnd"/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, повною мірою відповідало закону, нотаріусу слід правильно зорієнтувати заповідача, повідомивши йому про його право вимагати присутності свідків при посвідченні заповіту і отримавши його згоду на це.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За загальним правилом заповіт має бути підписаний заповідачем особисто, однак у випадках, коли він не може підписати заповіт внаслідок хвороби або фізичної вади, за його дорученням і в його присутності дозволяється підписання заповіту іншою особою. Підпис цієї особи засвідчується нотаріусом або посадовою особою, що має право на здійснення нотаріальних дій. Поряд із посвідченням підпису, нотаріус зобов'язаний також в тексті заповіту зазначити причини, які зумовили необхідність у підписанні заповіту третьою особою (ч. 4 ст. 207 ЦК).</w:t>
            </w:r>
          </w:p>
          <w:p w:rsidR="002607A8" w:rsidRPr="002607A8" w:rsidRDefault="002607A8" w:rsidP="002607A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A8">
              <w:rPr>
                <w:rFonts w:ascii="Times New Roman" w:hAnsi="Times New Roman" w:cs="Times New Roman"/>
                <w:sz w:val="28"/>
                <w:szCs w:val="28"/>
              </w:rPr>
              <w:t>Регламентуючи порядок підписання заповітів іншою особою замість заповідача, ЦК не передбачає заборони щодо підписання заповіту особою, на користь якої було складено заповіт. Тому в даному випадку необхідно керуватися нормою абзацу п'ятого пункту 157 Інструкції про порядок вчинення нотаріальних дій нотаріусами України, яка таку заборону передбачає.</w:t>
            </w:r>
          </w:p>
        </w:tc>
      </w:tr>
    </w:tbl>
    <w:p w:rsidR="00625097" w:rsidRDefault="00625097" w:rsidP="006250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5097" w:rsidRPr="00625097" w:rsidRDefault="00625097" w:rsidP="006250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5097">
        <w:rPr>
          <w:rFonts w:ascii="Times New Roman" w:hAnsi="Times New Roman" w:cs="Times New Roman"/>
          <w:sz w:val="24"/>
          <w:szCs w:val="24"/>
        </w:rPr>
        <w:t>Управління з питань нотаріату</w:t>
      </w:r>
    </w:p>
    <w:p w:rsidR="002518E6" w:rsidRPr="00625097" w:rsidRDefault="00625097" w:rsidP="00625097">
      <w:pPr>
        <w:rPr>
          <w:rFonts w:ascii="Times New Roman" w:hAnsi="Times New Roman" w:cs="Times New Roman"/>
          <w:sz w:val="24"/>
          <w:szCs w:val="24"/>
        </w:rPr>
      </w:pPr>
      <w:r w:rsidRPr="00625097">
        <w:rPr>
          <w:rFonts w:ascii="Times New Roman" w:hAnsi="Times New Roman" w:cs="Times New Roman"/>
          <w:sz w:val="24"/>
          <w:szCs w:val="24"/>
        </w:rPr>
        <w:t>Головного територіального управління юстиції у місті Києві</w:t>
      </w:r>
    </w:p>
    <w:sectPr w:rsidR="002518E6" w:rsidRPr="00625097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7A8"/>
    <w:rsid w:val="00016B33"/>
    <w:rsid w:val="000B3FD7"/>
    <w:rsid w:val="000C5E38"/>
    <w:rsid w:val="00130361"/>
    <w:rsid w:val="001441F1"/>
    <w:rsid w:val="00162B2B"/>
    <w:rsid w:val="002518E6"/>
    <w:rsid w:val="002607A8"/>
    <w:rsid w:val="00274A02"/>
    <w:rsid w:val="00277F4E"/>
    <w:rsid w:val="00372FC6"/>
    <w:rsid w:val="003A7011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625097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D03DB5"/>
    <w:rsid w:val="00D10F72"/>
    <w:rsid w:val="00D40A86"/>
    <w:rsid w:val="00DE6049"/>
    <w:rsid w:val="00E7118A"/>
    <w:rsid w:val="00EA7870"/>
    <w:rsid w:val="00EB50B4"/>
    <w:rsid w:val="00ED2DC3"/>
    <w:rsid w:val="00EF1E73"/>
    <w:rsid w:val="00F13FFC"/>
    <w:rsid w:val="00F828A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2607A8"/>
    <w:rPr>
      <w:i/>
      <w:iCs/>
    </w:rPr>
  </w:style>
  <w:style w:type="paragraph" w:styleId="a6">
    <w:name w:val="No Spacing"/>
    <w:uiPriority w:val="1"/>
    <w:qFormat/>
    <w:rsid w:val="00260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expert.in.ua/komkodeks/gk/79-gk/1615-12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2801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2019-10-28T12:23:00Z</dcterms:created>
  <dcterms:modified xsi:type="dcterms:W3CDTF">2019-10-29T08:23:00Z</dcterms:modified>
</cp:coreProperties>
</file>