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39" w:rsidRPr="00C126DE" w:rsidRDefault="00713639" w:rsidP="00C126DE">
      <w:pPr>
        <w:jc w:val="center"/>
        <w:rPr>
          <w:rFonts w:ascii="Times New Roman" w:hAnsi="Times New Roman" w:cs="Times New Roman"/>
          <w:sz w:val="28"/>
          <w:szCs w:val="28"/>
        </w:rPr>
      </w:pPr>
      <w:r w:rsidRPr="00C126DE">
        <w:rPr>
          <w:rStyle w:val="a4"/>
          <w:rFonts w:ascii="Times New Roman" w:hAnsi="Times New Roman" w:cs="Times New Roman"/>
          <w:bCs w:val="0"/>
          <w:sz w:val="28"/>
          <w:szCs w:val="28"/>
        </w:rPr>
        <w:t>Нормат</w:t>
      </w:r>
      <w:r w:rsidR="0094514E">
        <w:rPr>
          <w:rStyle w:val="a4"/>
          <w:rFonts w:ascii="Times New Roman" w:hAnsi="Times New Roman" w:cs="Times New Roman"/>
          <w:bCs w:val="0"/>
          <w:sz w:val="28"/>
          <w:szCs w:val="28"/>
        </w:rPr>
        <w:t>ивно-правові акти, які підлягають на державній реєстрації</w:t>
      </w:r>
      <w:r w:rsidRPr="00C126DE">
        <w:rPr>
          <w:rStyle w:val="a4"/>
          <w:rFonts w:ascii="Times New Roman" w:hAnsi="Times New Roman" w:cs="Times New Roman"/>
          <w:bCs w:val="0"/>
          <w:sz w:val="28"/>
          <w:szCs w:val="28"/>
        </w:rPr>
        <w:t xml:space="preserve"> </w:t>
      </w:r>
    </w:p>
    <w:p w:rsidR="00713639" w:rsidRPr="00AA37F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xml:space="preserve">Нормативно-правовий акт – це </w:t>
      </w:r>
      <w:r w:rsidR="00A32899" w:rsidRPr="00AA37F9">
        <w:rPr>
          <w:rFonts w:ascii="Times New Roman" w:hAnsi="Times New Roman" w:cs="Times New Roman"/>
          <w:color w:val="000000"/>
          <w:sz w:val="28"/>
          <w:szCs w:val="28"/>
          <w:shd w:val="clear" w:color="auto" w:fill="FFFFFF"/>
        </w:rPr>
        <w:t>офіційний документ, прийнятий уповноваженим на це суб'єктом нормотворення у визначеній законом формі та порядку, який встановлює норми права для неозначеного кола осіб і розрахований на неодноразове застосування</w:t>
      </w:r>
      <w:r w:rsidR="00AA37F9" w:rsidRPr="00AA37F9">
        <w:rPr>
          <w:rFonts w:ascii="Times New Roman" w:hAnsi="Times New Roman" w:cs="Times New Roman"/>
          <w:sz w:val="28"/>
          <w:szCs w:val="28"/>
        </w:rPr>
        <w:t>.</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На державну реєстрацію подаються нормативно-правові акти, прийняті уповноваженими на це суб'єктами нормотворення у визначеній законодавством формі та за встановленою законодавством процедурою, що містять норми права, мають неперсоніфікований характер і розраховані на неодноразове застосування, незалежно від строку їх дії (постійні чи обмежені певним часом) та характеру відомостей, що в них містяться, у тому числі з грифами «Для службового користування», «Особливої важливості», «Цілком таємно», «Таємно» та іншими, а також прийняті в порядку експерименту.</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Тобто державній реєстрації підлягають нормативно-правові акти будь-якого виду (постанови, накази, інструкції тощо), якщо в них є одна або більше норм, що:</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а) зачіпають соціально-економічні, політичні, особисті та інші права, свободи й законні інтереси громадян, проголошені й гарантовані Конституцією та законами України, Конвенцією про захист прав людини і основоположних свобод 1950 року і протоколами до неї, міжнародними договорами України, згоду на обов'язковість яких надано Верховною Радою України, та acquis communautaire, а також з урахуванням практики Європейського суду з прав людини, встановлюють новий або змінюють, доповнюють чи скасовують організаційно-правовий механізм їх реалізації;</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б) мають міжвідомчий характер, тобто є обов'язковими для інших міністерств, органів виконавчої влади, органів господарського управління та контролю, а також підприємств, установ і організацій, що не входять до сфери управління органу, який видав нормативно-правовий акт.</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На державну реєстрацію не подаються акти:</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а) персонального характеру (про склад комісій, призначення на посаду і звільнення з неї, заохочення працівників тощо);</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б) дія яких вичерпується одноразовим застосуванням, крім актів про затвердження положень, інструкцій та інших, що містять правові норми;</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в) оперативно-розпорядчого характеру (разові доручення);</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г) якими доводяться до відома підприємств, установ і організацій рішення вищестоящих органів;</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д) спрямовані на організацію виконання рішень вищестоящих органів і власних рішень міністерств, інших органів виконавчої влади, органів господарського управління та контролю, що не мають нових правових норм;</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е) нормативно-технічного характеру (державні стандарти, будівельні норми і правила, тарифно-кваліфікаційні довідники, форми звітності та інші).</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Строки подання нормативно-правових актів на державну реєстрацію та проведення їх державної реєстрації</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xml:space="preserve">Нормативно-правовий акт подається на державну реєстрацію протягом п’яти робочих днів після його прийняття у трьох примірниках: оригінал та дві завірені в установленому законодавством порядку копії розпорядчого </w:t>
      </w:r>
      <w:r w:rsidRPr="00713639">
        <w:rPr>
          <w:rFonts w:ascii="Times New Roman" w:hAnsi="Times New Roman" w:cs="Times New Roman"/>
          <w:sz w:val="28"/>
          <w:szCs w:val="28"/>
        </w:rPr>
        <w:lastRenderedPageBreak/>
        <w:t>документа (наказу, розпорядження, рішення, постанови тощо), а також затвердженого ним положення (інструкції, порядку тощо) і додатків до них.</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Державна реєстрація нормативно-правового акта проводиться протягом 15 робочих днів з дня, наступного після надходження його до органу державної реєстрації.</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У разі потреби (необхідність проведення аналізу нормативно-правового акту із залученням експертів, вивчення значної кількості актів чинного законодавства тощо) ці терміни можуть бути продовжені керівником органу державної реєстрації, але не більш як на 10 робочих днів, про що повідомляється орган, який надіслав нормативно-правовий акт на державну реєстрацію.</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Нормативно-правовий акт, що подається на державну реєстрацію, має відповідати вимогам законодавства про мови та інших актів законодавства, узгоджуватися з раніше прийнятими актами і викладатися згідно з правописом та з дотриманням правил нормопроектувальної техніки.</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Разом з нормативно-правовим актом до органу державної реєстрації подаються:</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а) обгрунтування підстав для видання нормативно-правового акта чи окремих його норм;</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б) відомості про чинні акти з цього питання, інформація про строки приведення їх у відповідність з нормативно-правовим актом, поданим на державну реєстрацію, а також про акти, що втрачають чинність у зв'язку з прийняттям цього акта;</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в) копія нормативно-правового акта, до якого вносяться зміни або який визнається таким, що втратив чинність, у контрольному стані та порівняльна таблиця;</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г) відомості про офіційне погодження акта із заінтересованими органами незалежно від того, чи є таке погодження обов'язковим згідно з законодавством;</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 xml:space="preserve">д) оригінал та дві </w:t>
      </w:r>
      <w:r w:rsidR="00A32899">
        <w:rPr>
          <w:rFonts w:ascii="Times New Roman" w:hAnsi="Times New Roman" w:cs="Times New Roman"/>
          <w:sz w:val="28"/>
          <w:szCs w:val="28"/>
        </w:rPr>
        <w:t>копії рішення Державної регуляторної служби України</w:t>
      </w:r>
      <w:r w:rsidRPr="00713639">
        <w:rPr>
          <w:rFonts w:ascii="Times New Roman" w:hAnsi="Times New Roman" w:cs="Times New Roman"/>
          <w:sz w:val="28"/>
          <w:szCs w:val="28"/>
        </w:rPr>
        <w:t xml:space="preserve"> про погодження проекту регуляторного акта;</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е) довідку щодо відповідності нормативно-правового акта aquis communautaire за формою, визначеною в додатку 1 до Регламенту Кабінету Міністрів України, що затверджений постановою Кабінету Міністрів України від 18 липня 2007 р. № 950 (Офіційний вісник України, 2007 р., № 54, ст. 2180);</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ж) висновок Мін'юсту, Головного управління Мін'юсту в Автономній Республіці Крим, головних управлінь юстиції в областях, містах Києві та Севастополі, районних, районних у містах Києві та Севастополі, міськрайонних (у разі утворення) управлінь юстиції щодо відповідності нормативно-правового акта положенням Конвенції про захист прав людини і основоположних свобод та практиці Європейського суду з прав людини;</w:t>
      </w:r>
    </w:p>
    <w:p w:rsid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з) висновок про проведення антидискримінаційної експертизи</w:t>
      </w:r>
      <w:r w:rsidR="00A32899">
        <w:rPr>
          <w:rFonts w:ascii="Times New Roman" w:hAnsi="Times New Roman" w:cs="Times New Roman"/>
          <w:sz w:val="28"/>
          <w:szCs w:val="28"/>
        </w:rPr>
        <w:t>;</w:t>
      </w:r>
    </w:p>
    <w:p w:rsidR="00A32899" w:rsidRPr="00713639" w:rsidRDefault="00A32899" w:rsidP="00A32899">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ж) </w:t>
      </w:r>
      <w:r w:rsidRPr="00713639">
        <w:rPr>
          <w:rFonts w:ascii="Times New Roman" w:hAnsi="Times New Roman" w:cs="Times New Roman"/>
          <w:sz w:val="28"/>
          <w:szCs w:val="28"/>
        </w:rPr>
        <w:t xml:space="preserve">висновок про проведення </w:t>
      </w:r>
      <w:r>
        <w:rPr>
          <w:rFonts w:ascii="Times New Roman" w:hAnsi="Times New Roman" w:cs="Times New Roman"/>
          <w:sz w:val="28"/>
          <w:szCs w:val="28"/>
        </w:rPr>
        <w:t>гендерно-правової експертизи;</w:t>
      </w:r>
    </w:p>
    <w:p w:rsidR="00713639" w:rsidRPr="00713639" w:rsidRDefault="00713639" w:rsidP="00713639">
      <w:pPr>
        <w:pStyle w:val="a6"/>
        <w:ind w:firstLine="567"/>
        <w:jc w:val="both"/>
        <w:rPr>
          <w:rFonts w:ascii="Times New Roman" w:hAnsi="Times New Roman" w:cs="Times New Roman"/>
          <w:sz w:val="28"/>
          <w:szCs w:val="28"/>
        </w:rPr>
      </w:pPr>
      <w:r w:rsidRPr="00713639">
        <w:rPr>
          <w:rFonts w:ascii="Times New Roman" w:hAnsi="Times New Roman" w:cs="Times New Roman"/>
          <w:sz w:val="28"/>
          <w:szCs w:val="28"/>
        </w:rPr>
        <w:t>У разі коли нормативно-</w:t>
      </w:r>
      <w:r w:rsidR="00AA37F9">
        <w:rPr>
          <w:rFonts w:ascii="Times New Roman" w:hAnsi="Times New Roman" w:cs="Times New Roman"/>
          <w:sz w:val="28"/>
          <w:szCs w:val="28"/>
        </w:rPr>
        <w:t>правовий акт відповідає вимогам</w:t>
      </w:r>
      <w:r w:rsidRPr="00713639">
        <w:rPr>
          <w:rFonts w:ascii="Times New Roman" w:hAnsi="Times New Roman" w:cs="Times New Roman"/>
          <w:sz w:val="28"/>
          <w:szCs w:val="28"/>
        </w:rPr>
        <w:t xml:space="preserve"> </w:t>
      </w:r>
      <w:r w:rsidR="00AA37F9">
        <w:rPr>
          <w:rFonts w:ascii="Times New Roman" w:hAnsi="Times New Roman" w:cs="Times New Roman"/>
          <w:sz w:val="28"/>
          <w:szCs w:val="28"/>
        </w:rPr>
        <w:t>законодавства</w:t>
      </w:r>
      <w:r w:rsidRPr="00713639">
        <w:rPr>
          <w:rFonts w:ascii="Times New Roman" w:hAnsi="Times New Roman" w:cs="Times New Roman"/>
          <w:sz w:val="28"/>
          <w:szCs w:val="28"/>
        </w:rPr>
        <w:t xml:space="preserve">, орган державної реєстрації готує висновок щодо державної реєстрації нормативно-правового акта за встановленою Мін'юстом формою, заносить його </w:t>
      </w:r>
      <w:r w:rsidRPr="00713639">
        <w:rPr>
          <w:rFonts w:ascii="Times New Roman" w:hAnsi="Times New Roman" w:cs="Times New Roman"/>
          <w:sz w:val="28"/>
          <w:szCs w:val="28"/>
        </w:rPr>
        <w:lastRenderedPageBreak/>
        <w:t xml:space="preserve">до державного реєстру та на оригіналі акта робить напис встановленого зразка про дату </w:t>
      </w:r>
      <w:r w:rsidR="00AA37F9" w:rsidRPr="00713639">
        <w:rPr>
          <w:rFonts w:ascii="Times New Roman" w:hAnsi="Times New Roman" w:cs="Times New Roman"/>
          <w:sz w:val="28"/>
          <w:szCs w:val="28"/>
        </w:rPr>
        <w:t xml:space="preserve">і номер </w:t>
      </w:r>
      <w:r w:rsidRPr="00713639">
        <w:rPr>
          <w:rFonts w:ascii="Times New Roman" w:hAnsi="Times New Roman" w:cs="Times New Roman"/>
          <w:sz w:val="28"/>
          <w:szCs w:val="28"/>
        </w:rPr>
        <w:t>державної реєстрації акта згідно з державним реєстром.</w:t>
      </w:r>
    </w:p>
    <w:p w:rsidR="00713639" w:rsidRDefault="00713639" w:rsidP="00713639"/>
    <w:p w:rsidR="00713639" w:rsidRPr="00713639" w:rsidRDefault="00713639" w:rsidP="00713639">
      <w:pPr>
        <w:spacing w:after="0" w:line="240" w:lineRule="auto"/>
        <w:rPr>
          <w:rFonts w:ascii="Times New Roman" w:hAnsi="Times New Roman" w:cs="Times New Roman"/>
          <w:sz w:val="24"/>
          <w:szCs w:val="24"/>
        </w:rPr>
      </w:pPr>
      <w:r w:rsidRPr="00713639">
        <w:rPr>
          <w:rFonts w:ascii="Times New Roman" w:hAnsi="Times New Roman" w:cs="Times New Roman"/>
          <w:sz w:val="24"/>
          <w:szCs w:val="24"/>
        </w:rPr>
        <w:t xml:space="preserve">Управління державної реєстрації </w:t>
      </w:r>
    </w:p>
    <w:p w:rsidR="00713639" w:rsidRDefault="00713639" w:rsidP="00713639">
      <w:pPr>
        <w:spacing w:after="0" w:line="240" w:lineRule="auto"/>
        <w:rPr>
          <w:rFonts w:ascii="Times New Roman" w:hAnsi="Times New Roman" w:cs="Times New Roman"/>
          <w:sz w:val="24"/>
          <w:szCs w:val="24"/>
        </w:rPr>
      </w:pPr>
      <w:r w:rsidRPr="00713639">
        <w:rPr>
          <w:rFonts w:ascii="Times New Roman" w:hAnsi="Times New Roman" w:cs="Times New Roman"/>
          <w:sz w:val="24"/>
          <w:szCs w:val="24"/>
        </w:rPr>
        <w:t xml:space="preserve">нормативно-правових актів, </w:t>
      </w:r>
    </w:p>
    <w:p w:rsidR="00713639" w:rsidRDefault="00713639" w:rsidP="00713639">
      <w:pPr>
        <w:spacing w:after="0" w:line="240" w:lineRule="auto"/>
        <w:rPr>
          <w:rFonts w:ascii="Times New Roman" w:hAnsi="Times New Roman" w:cs="Times New Roman"/>
          <w:sz w:val="24"/>
          <w:szCs w:val="24"/>
        </w:rPr>
      </w:pPr>
      <w:r w:rsidRPr="00713639">
        <w:rPr>
          <w:rFonts w:ascii="Times New Roman" w:hAnsi="Times New Roman" w:cs="Times New Roman"/>
          <w:sz w:val="24"/>
          <w:szCs w:val="24"/>
        </w:rPr>
        <w:t>правової роботи та правової освіти</w:t>
      </w:r>
    </w:p>
    <w:p w:rsidR="002518E6" w:rsidRDefault="00713639" w:rsidP="00713639">
      <w:pPr>
        <w:spacing w:after="0" w:line="240" w:lineRule="auto"/>
        <w:rPr>
          <w:rFonts w:ascii="Times New Roman" w:hAnsi="Times New Roman" w:cs="Times New Roman"/>
          <w:sz w:val="24"/>
          <w:szCs w:val="24"/>
        </w:rPr>
      </w:pPr>
      <w:r>
        <w:rPr>
          <w:rFonts w:ascii="Times New Roman" w:hAnsi="Times New Roman" w:cs="Times New Roman"/>
          <w:sz w:val="24"/>
          <w:szCs w:val="24"/>
        </w:rPr>
        <w:t>Головного територіального</w:t>
      </w:r>
    </w:p>
    <w:p w:rsidR="00713639" w:rsidRPr="00713639" w:rsidRDefault="00713639" w:rsidP="007136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управління юстиції у місті Києві </w:t>
      </w:r>
    </w:p>
    <w:sectPr w:rsidR="00713639" w:rsidRPr="00713639"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13639"/>
    <w:rsid w:val="00016B33"/>
    <w:rsid w:val="000B3FD7"/>
    <w:rsid w:val="00130361"/>
    <w:rsid w:val="001441F1"/>
    <w:rsid w:val="00162B2B"/>
    <w:rsid w:val="002518E6"/>
    <w:rsid w:val="00274A02"/>
    <w:rsid w:val="00372FC6"/>
    <w:rsid w:val="003A7011"/>
    <w:rsid w:val="004335D0"/>
    <w:rsid w:val="00450C53"/>
    <w:rsid w:val="00493E60"/>
    <w:rsid w:val="00497B15"/>
    <w:rsid w:val="004A0E51"/>
    <w:rsid w:val="004E537F"/>
    <w:rsid w:val="0051317B"/>
    <w:rsid w:val="0051718E"/>
    <w:rsid w:val="00545110"/>
    <w:rsid w:val="006C4FD1"/>
    <w:rsid w:val="006E4958"/>
    <w:rsid w:val="00713639"/>
    <w:rsid w:val="007325AD"/>
    <w:rsid w:val="00734FE7"/>
    <w:rsid w:val="007A2D75"/>
    <w:rsid w:val="008102EC"/>
    <w:rsid w:val="0082422A"/>
    <w:rsid w:val="00840203"/>
    <w:rsid w:val="00853075"/>
    <w:rsid w:val="008649A0"/>
    <w:rsid w:val="00892F5E"/>
    <w:rsid w:val="008A34C5"/>
    <w:rsid w:val="008B2053"/>
    <w:rsid w:val="008B474B"/>
    <w:rsid w:val="008C57A8"/>
    <w:rsid w:val="008C62C5"/>
    <w:rsid w:val="009143CB"/>
    <w:rsid w:val="0094514E"/>
    <w:rsid w:val="00961C82"/>
    <w:rsid w:val="00976150"/>
    <w:rsid w:val="009A0ADD"/>
    <w:rsid w:val="009C3FF6"/>
    <w:rsid w:val="009E3F96"/>
    <w:rsid w:val="009F56E4"/>
    <w:rsid w:val="00A25496"/>
    <w:rsid w:val="00A32899"/>
    <w:rsid w:val="00AA37F9"/>
    <w:rsid w:val="00AC0532"/>
    <w:rsid w:val="00B706D9"/>
    <w:rsid w:val="00C126DE"/>
    <w:rsid w:val="00C310FC"/>
    <w:rsid w:val="00C8078A"/>
    <w:rsid w:val="00CC2DCC"/>
    <w:rsid w:val="00D03DB5"/>
    <w:rsid w:val="00D10F72"/>
    <w:rsid w:val="00D40A86"/>
    <w:rsid w:val="00DE6049"/>
    <w:rsid w:val="00E56226"/>
    <w:rsid w:val="00E7118A"/>
    <w:rsid w:val="00EA7870"/>
    <w:rsid w:val="00EB50B4"/>
    <w:rsid w:val="00ED2DC3"/>
    <w:rsid w:val="00EF1E73"/>
    <w:rsid w:val="00F828A3"/>
    <w:rsid w:val="00F86266"/>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6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13639"/>
    <w:rPr>
      <w:b/>
      <w:bCs/>
    </w:rPr>
  </w:style>
  <w:style w:type="paragraph" w:customStyle="1" w:styleId="listparagraph">
    <w:name w:val="listparagraph"/>
    <w:basedOn w:val="a"/>
    <w:rsid w:val="007136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713639"/>
    <w:rPr>
      <w:i/>
      <w:iCs/>
    </w:rPr>
  </w:style>
  <w:style w:type="paragraph" w:styleId="a6">
    <w:name w:val="No Spacing"/>
    <w:uiPriority w:val="1"/>
    <w:qFormat/>
    <w:rsid w:val="00713639"/>
    <w:pPr>
      <w:spacing w:after="0" w:line="240" w:lineRule="auto"/>
    </w:pPr>
  </w:style>
</w:styles>
</file>

<file path=word/webSettings.xml><?xml version="1.0" encoding="utf-8"?>
<w:webSettings xmlns:r="http://schemas.openxmlformats.org/officeDocument/2006/relationships" xmlns:w="http://schemas.openxmlformats.org/wordprocessingml/2006/main">
  <w:divs>
    <w:div w:id="136610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3836</Words>
  <Characters>2188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4</cp:revision>
  <dcterms:created xsi:type="dcterms:W3CDTF">2019-10-08T12:00:00Z</dcterms:created>
  <dcterms:modified xsi:type="dcterms:W3CDTF">2019-10-08T12:47:00Z</dcterms:modified>
</cp:coreProperties>
</file>